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22DFDD5F" w14:textId="013C4E7F" w:rsidR="001C7010" w:rsidRPr="001C7010" w:rsidRDefault="001C7010" w:rsidP="008549A5">
      <w:pPr>
        <w:rPr>
          <w:rStyle w:val="Hyperlink"/>
          <w:rFonts w:ascii="Mulish" w:hAnsi="Mulish"/>
        </w:rPr>
      </w:pPr>
      <w:hyperlink r:id="rId16" w:history="1">
        <w:r w:rsidRPr="001C7010">
          <w:rPr>
            <w:rStyle w:val="Hyperlink"/>
            <w:rFonts w:ascii="Mulish" w:hAnsi="Mulish"/>
            <w:shd w:val="clear" w:color="auto" w:fill="DBE5F1" w:themeFill="accent1" w:themeFillTint="33"/>
          </w:rPr>
          <w:t>Inspirational Clinical Support Worker of the Year</w:t>
        </w:r>
      </w:hyperlink>
    </w:p>
    <w:p w14:paraId="74D733E6" w14:textId="0E35B11A"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1C7010">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DFF"/>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74B5"/>
    <w:rsid w:val="008B39C1"/>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inspirational-clinical-support-worker-of-the-ye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2021-10-04T13:35:00Z</dcterms:created>
  <dcterms:modified xsi:type="dcterms:W3CDTF">2021-10-04T13:35:00Z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